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A7" w:rsidRPr="000A2EA7" w:rsidRDefault="000A2EA7" w:rsidP="000A2EA7">
      <w:pPr>
        <w:shd w:val="clear" w:color="auto" w:fill="FFFFFF"/>
        <w:spacing w:before="100" w:beforeAutospacing="1" w:after="75" w:line="240" w:lineRule="auto"/>
        <w:jc w:val="center"/>
        <w:outlineLvl w:val="1"/>
        <w:rPr>
          <w:rFonts w:ascii="Arial" w:eastAsia="Times New Roman" w:hAnsi="Arial" w:cs="Arial"/>
          <w:b/>
          <w:bCs/>
          <w:color w:val="7A6D5C"/>
          <w:kern w:val="36"/>
          <w:sz w:val="34"/>
          <w:szCs w:val="34"/>
        </w:rPr>
      </w:pPr>
      <w:r w:rsidRPr="000A2EA7">
        <w:rPr>
          <w:rFonts w:ascii="Arial" w:eastAsia="Times New Roman" w:hAnsi="Arial" w:cs="Arial"/>
          <w:b/>
          <w:bCs/>
          <w:color w:val="7A6D5C"/>
          <w:kern w:val="36"/>
          <w:sz w:val="34"/>
          <w:szCs w:val="34"/>
        </w:rPr>
        <w:t>Criminal Trial Procedures: An Overview</w:t>
      </w:r>
    </w:p>
    <w:p w:rsidR="000A2EA7" w:rsidRPr="000A2EA7" w:rsidRDefault="000A2EA7" w:rsidP="000A2EA7">
      <w:pPr>
        <w:shd w:val="clear" w:color="auto" w:fill="FFFFFF"/>
        <w:spacing w:before="100" w:beforeAutospacing="1" w:after="100" w:afterAutospacing="1" w:line="240" w:lineRule="auto"/>
        <w:outlineLvl w:val="2"/>
        <w:rPr>
          <w:rFonts w:ascii="Italic" w:eastAsia="Adobe Fangsong Std R" w:hAnsi="Italic" w:cs="Italic"/>
          <w:b/>
          <w:bCs/>
          <w:i/>
          <w:color w:val="7A6D5C"/>
          <w:sz w:val="12"/>
          <w:szCs w:val="20"/>
        </w:rPr>
      </w:pPr>
      <w:r w:rsidRPr="000A2EA7">
        <w:rPr>
          <w:rFonts w:ascii="Italic" w:eastAsia="Adobe Fangsong Std R" w:hAnsi="Italic" w:cs="Italic"/>
          <w:b/>
          <w:bCs/>
          <w:i/>
          <w:color w:val="7A6D5C"/>
          <w:sz w:val="12"/>
          <w:szCs w:val="20"/>
        </w:rPr>
        <w:t>Adapted from nolo.com</w:t>
      </w:r>
    </w:p>
    <w:p w:rsidR="000A2EA7" w:rsidRPr="000A2EA7" w:rsidRDefault="000A2EA7" w:rsidP="000A2EA7">
      <w:pPr>
        <w:shd w:val="clear" w:color="auto" w:fill="FFFFFF"/>
        <w:spacing w:before="100" w:beforeAutospacing="1" w:after="100" w:afterAutospacing="1" w:line="240" w:lineRule="auto"/>
        <w:outlineLvl w:val="2"/>
        <w:rPr>
          <w:rFonts w:ascii="Arial" w:eastAsia="Times New Roman" w:hAnsi="Arial" w:cs="Arial"/>
          <w:b/>
          <w:bCs/>
          <w:color w:val="7A6D5C"/>
          <w:sz w:val="20"/>
          <w:szCs w:val="20"/>
        </w:rPr>
      </w:pPr>
      <w:r w:rsidRPr="000A2EA7">
        <w:rPr>
          <w:rFonts w:ascii="Arial" w:eastAsia="Times New Roman" w:hAnsi="Arial" w:cs="Arial"/>
          <w:b/>
          <w:bCs/>
          <w:color w:val="7A6D5C"/>
          <w:sz w:val="20"/>
          <w:szCs w:val="20"/>
        </w:rPr>
        <w:t>Most criminal trials follow a uniform set of procedures. Here's a</w:t>
      </w:r>
      <w:r>
        <w:rPr>
          <w:rFonts w:ascii="Arial" w:eastAsia="Times New Roman" w:hAnsi="Arial" w:cs="Arial"/>
          <w:b/>
          <w:bCs/>
          <w:color w:val="7A6D5C"/>
          <w:sz w:val="20"/>
          <w:szCs w:val="20"/>
        </w:rPr>
        <w:t xml:space="preserve"> </w:t>
      </w:r>
      <w:r w:rsidRPr="000A2EA7">
        <w:rPr>
          <w:rFonts w:ascii="Arial" w:eastAsia="Times New Roman" w:hAnsi="Arial" w:cs="Arial"/>
          <w:b/>
          <w:bCs/>
          <w:color w:val="7A6D5C"/>
          <w:sz w:val="20"/>
          <w:szCs w:val="20"/>
        </w:rPr>
        <w:t>step by step guide to the criminal trial process.</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r w:rsidRPr="000A2EA7">
        <w:rPr>
          <w:rFonts w:ascii="Arial" w:eastAsia="Times New Roman" w:hAnsi="Arial" w:cs="Arial"/>
          <w:color w:val="333333"/>
          <w:sz w:val="20"/>
          <w:szCs w:val="20"/>
        </w:rPr>
        <w:t>The many rituals associated with modern trials have developed over centuries. America's common law heritage makes it possible for all states and the federal government to follow a largely uniform set of procedures. Assuming that the trial is carried out to completion, those procedures are as follows:</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Decision by Judge or Jury.</w:t>
      </w:r>
      <w:proofErr w:type="gramEnd"/>
      <w:r w:rsidRPr="000A2EA7">
        <w:rPr>
          <w:rFonts w:ascii="Arial" w:eastAsia="Times New Roman" w:hAnsi="Arial" w:cs="Arial"/>
          <w:color w:val="333333"/>
          <w:sz w:val="20"/>
          <w:szCs w:val="20"/>
        </w:rPr>
        <w:t xml:space="preserve"> The defense generally decides whether a case will be tried to a judge or a jury, but in some jurisdictions both the prosecution and the defense have the right to demand a jury trial.</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Jury selection.</w:t>
      </w:r>
      <w:proofErr w:type="gramEnd"/>
      <w:r w:rsidRPr="000A2EA7">
        <w:rPr>
          <w:rFonts w:ascii="Arial" w:eastAsia="Times New Roman" w:hAnsi="Arial" w:cs="Arial"/>
          <w:color w:val="333333"/>
          <w:sz w:val="20"/>
          <w:szCs w:val="20"/>
        </w:rPr>
        <w:t xml:space="preserve"> If the trial will be held before a jury, the defense and prosecution select the jury through a question and answer process called "</w:t>
      </w:r>
      <w:proofErr w:type="spellStart"/>
      <w:r w:rsidRPr="000A2EA7">
        <w:rPr>
          <w:rFonts w:ascii="Arial" w:eastAsia="Times New Roman" w:hAnsi="Arial" w:cs="Arial"/>
          <w:color w:val="333333"/>
          <w:sz w:val="20"/>
          <w:szCs w:val="20"/>
        </w:rPr>
        <w:t>voir</w:t>
      </w:r>
      <w:proofErr w:type="spellEnd"/>
      <w:r w:rsidRPr="000A2EA7">
        <w:rPr>
          <w:rFonts w:ascii="Arial" w:eastAsia="Times New Roman" w:hAnsi="Arial" w:cs="Arial"/>
          <w:color w:val="333333"/>
          <w:sz w:val="20"/>
          <w:szCs w:val="20"/>
        </w:rPr>
        <w:t xml:space="preserve"> dire." In federal courts and many state courts, the judge carries out this process using questions suggested by the attorneys as well as questions that the judge comes up with on his or her own.</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Evidence issues.</w:t>
      </w:r>
      <w:proofErr w:type="gramEnd"/>
      <w:r w:rsidRPr="000A2EA7">
        <w:rPr>
          <w:rFonts w:ascii="Arial" w:eastAsia="Times New Roman" w:hAnsi="Arial" w:cs="Arial"/>
          <w:color w:val="333333"/>
          <w:sz w:val="20"/>
          <w:szCs w:val="20"/>
        </w:rPr>
        <w:t xml:space="preserve"> The defense and prosecution request the court, in advance of trial, to admit or exclude certain evidence. These requests are called motions "in </w:t>
      </w:r>
      <w:proofErr w:type="spellStart"/>
      <w:r w:rsidRPr="000A2EA7">
        <w:rPr>
          <w:rFonts w:ascii="Arial" w:eastAsia="Times New Roman" w:hAnsi="Arial" w:cs="Arial"/>
          <w:color w:val="333333"/>
          <w:sz w:val="20"/>
          <w:szCs w:val="20"/>
        </w:rPr>
        <w:t>limine</w:t>
      </w:r>
      <w:proofErr w:type="spellEnd"/>
      <w:r w:rsidRPr="000A2EA7">
        <w:rPr>
          <w:rFonts w:ascii="Arial" w:eastAsia="Times New Roman" w:hAnsi="Arial" w:cs="Arial"/>
          <w:color w:val="333333"/>
          <w:sz w:val="20"/>
          <w:szCs w:val="20"/>
        </w:rPr>
        <w:t>."</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Opening statements.</w:t>
      </w:r>
      <w:proofErr w:type="gramEnd"/>
      <w:r w:rsidRPr="000A2EA7">
        <w:rPr>
          <w:rFonts w:ascii="Arial" w:eastAsia="Times New Roman" w:hAnsi="Arial" w:cs="Arial"/>
          <w:color w:val="333333"/>
          <w:sz w:val="20"/>
          <w:szCs w:val="20"/>
        </w:rPr>
        <w:t xml:space="preserve"> The prosecution and then the defense make opening statements to the judge or jury. These statements provide an outline of the case that each side expects to prove. Because neither side wants to look foolish to the jury, the attorneys are careful to promise only what they think they can deliver. In some cases, the defense attorney reserves opening argument until the beginning of the defense case.</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Prosecution case-in-chief.</w:t>
      </w:r>
      <w:proofErr w:type="gramEnd"/>
      <w:r w:rsidRPr="000A2EA7">
        <w:rPr>
          <w:rFonts w:ascii="Arial" w:eastAsia="Times New Roman" w:hAnsi="Arial" w:cs="Arial"/>
          <w:color w:val="333333"/>
          <w:sz w:val="20"/>
          <w:szCs w:val="20"/>
        </w:rPr>
        <w:t xml:space="preserve"> The prosecution presents its main case through direct examination of prosecution witnesses by the prosecutor.</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Cross-examination.</w:t>
      </w:r>
      <w:proofErr w:type="gramEnd"/>
      <w:r w:rsidRPr="000A2EA7">
        <w:rPr>
          <w:rFonts w:ascii="Arial" w:eastAsia="Times New Roman" w:hAnsi="Arial" w:cs="Arial"/>
          <w:color w:val="333333"/>
          <w:sz w:val="20"/>
          <w:szCs w:val="20"/>
        </w:rPr>
        <w:t xml:space="preserve"> The defense may cross-examine the prosecution witnesses.</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Redirect.</w:t>
      </w:r>
      <w:proofErr w:type="gramEnd"/>
      <w:r w:rsidRPr="000A2EA7">
        <w:rPr>
          <w:rFonts w:ascii="Arial" w:eastAsia="Times New Roman" w:hAnsi="Arial" w:cs="Arial"/>
          <w:color w:val="333333"/>
          <w:sz w:val="20"/>
          <w:szCs w:val="20"/>
        </w:rPr>
        <w:t xml:space="preserve"> The prosecution may re-examine its witnesses.</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r w:rsidRPr="000A2EA7">
        <w:rPr>
          <w:rFonts w:ascii="Arial" w:eastAsia="Times New Roman" w:hAnsi="Arial" w:cs="Arial"/>
          <w:b/>
          <w:bCs/>
          <w:color w:val="764610"/>
          <w:sz w:val="20"/>
          <w:szCs w:val="20"/>
        </w:rPr>
        <w:t>Prosecution rests.</w:t>
      </w:r>
      <w:r w:rsidRPr="000A2EA7">
        <w:rPr>
          <w:rFonts w:ascii="Arial" w:eastAsia="Times New Roman" w:hAnsi="Arial" w:cs="Arial"/>
          <w:color w:val="333333"/>
          <w:sz w:val="20"/>
          <w:szCs w:val="20"/>
        </w:rPr>
        <w:t xml:space="preserve"> The prosecution finishes presenting its case.</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Motion to dismiss (optional).</w:t>
      </w:r>
      <w:proofErr w:type="gramEnd"/>
      <w:r w:rsidRPr="000A2EA7">
        <w:rPr>
          <w:rFonts w:ascii="Arial" w:eastAsia="Times New Roman" w:hAnsi="Arial" w:cs="Arial"/>
          <w:color w:val="333333"/>
          <w:sz w:val="20"/>
          <w:szCs w:val="20"/>
        </w:rPr>
        <w:t xml:space="preserve"> The defense may move to dismiss the charges if it thinks that the prosecution has failed to produce enough evidence -- even if the jury believes it -- to support a guilty verdict.</w:t>
      </w:r>
    </w:p>
    <w:p w:rsidR="000A2EA7" w:rsidRDefault="000A2EA7" w:rsidP="000A2EA7">
      <w:pPr>
        <w:shd w:val="clear" w:color="auto" w:fill="FFFFFF"/>
        <w:spacing w:before="100" w:beforeAutospacing="1" w:after="150" w:line="312" w:lineRule="atLeast"/>
        <w:rPr>
          <w:rFonts w:ascii="Arial" w:eastAsia="Times New Roman" w:hAnsi="Arial" w:cs="Arial"/>
          <w:b/>
          <w:bCs/>
          <w:color w:val="764610"/>
          <w:sz w:val="20"/>
          <w:szCs w:val="20"/>
        </w:rPr>
      </w:pP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lastRenderedPageBreak/>
        <w:t>Denial of motion to dismiss.</w:t>
      </w:r>
      <w:proofErr w:type="gramEnd"/>
      <w:r w:rsidRPr="000A2EA7">
        <w:rPr>
          <w:rFonts w:ascii="Arial" w:eastAsia="Times New Roman" w:hAnsi="Arial" w:cs="Arial"/>
          <w:color w:val="333333"/>
          <w:sz w:val="20"/>
          <w:szCs w:val="20"/>
        </w:rPr>
        <w:t xml:space="preserve"> Almost always, the judge denies the defense motion to dismiss.</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Defense case-in-chief.</w:t>
      </w:r>
      <w:proofErr w:type="gramEnd"/>
      <w:r w:rsidRPr="000A2EA7">
        <w:rPr>
          <w:rFonts w:ascii="Arial" w:eastAsia="Times New Roman" w:hAnsi="Arial" w:cs="Arial"/>
          <w:color w:val="333333"/>
          <w:sz w:val="20"/>
          <w:szCs w:val="20"/>
        </w:rPr>
        <w:t xml:space="preserve"> The defense presents its main case through direct examination of defense witnesses.</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Cross-examination.</w:t>
      </w:r>
      <w:proofErr w:type="gramEnd"/>
      <w:r w:rsidRPr="000A2EA7">
        <w:rPr>
          <w:rFonts w:ascii="Arial" w:eastAsia="Times New Roman" w:hAnsi="Arial" w:cs="Arial"/>
          <w:color w:val="333333"/>
          <w:sz w:val="20"/>
          <w:szCs w:val="20"/>
        </w:rPr>
        <w:t xml:space="preserve"> The prosecutor cross-examines the defense witnesses.</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Redirect.</w:t>
      </w:r>
      <w:proofErr w:type="gramEnd"/>
      <w:r w:rsidRPr="000A2EA7">
        <w:rPr>
          <w:rFonts w:ascii="Arial" w:eastAsia="Times New Roman" w:hAnsi="Arial" w:cs="Arial"/>
          <w:color w:val="333333"/>
          <w:sz w:val="20"/>
          <w:szCs w:val="20"/>
        </w:rPr>
        <w:t xml:space="preserve"> The defense re-examines the defense witnesses.</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r w:rsidRPr="000A2EA7">
        <w:rPr>
          <w:rFonts w:ascii="Arial" w:eastAsia="Times New Roman" w:hAnsi="Arial" w:cs="Arial"/>
          <w:b/>
          <w:bCs/>
          <w:color w:val="764610"/>
          <w:sz w:val="20"/>
          <w:szCs w:val="20"/>
        </w:rPr>
        <w:t>Defense rests.</w:t>
      </w:r>
      <w:r w:rsidRPr="000A2EA7">
        <w:rPr>
          <w:rFonts w:ascii="Arial" w:eastAsia="Times New Roman" w:hAnsi="Arial" w:cs="Arial"/>
          <w:color w:val="333333"/>
          <w:sz w:val="20"/>
          <w:szCs w:val="20"/>
        </w:rPr>
        <w:t xml:space="preserve"> The defense finishes presenting its case.</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Prosecution rebuttal.</w:t>
      </w:r>
      <w:proofErr w:type="gramEnd"/>
      <w:r w:rsidRPr="000A2EA7">
        <w:rPr>
          <w:rFonts w:ascii="Arial" w:eastAsia="Times New Roman" w:hAnsi="Arial" w:cs="Arial"/>
          <w:color w:val="333333"/>
          <w:sz w:val="20"/>
          <w:szCs w:val="20"/>
        </w:rPr>
        <w:t xml:space="preserve"> The prosecutor offers evidence to refute the defense case.</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Settling on jury instructions.</w:t>
      </w:r>
      <w:proofErr w:type="gramEnd"/>
      <w:r w:rsidRPr="000A2EA7">
        <w:rPr>
          <w:rFonts w:ascii="Arial" w:eastAsia="Times New Roman" w:hAnsi="Arial" w:cs="Arial"/>
          <w:color w:val="333333"/>
          <w:sz w:val="20"/>
          <w:szCs w:val="20"/>
        </w:rPr>
        <w:t xml:space="preserve"> The prosecution and defense get together with the judge and craft a final set of instructions that the judge will give the jury.</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Prosecution closing argument.</w:t>
      </w:r>
      <w:proofErr w:type="gramEnd"/>
      <w:r w:rsidRPr="000A2EA7">
        <w:rPr>
          <w:rFonts w:ascii="Arial" w:eastAsia="Times New Roman" w:hAnsi="Arial" w:cs="Arial"/>
          <w:color w:val="333333"/>
          <w:sz w:val="20"/>
          <w:szCs w:val="20"/>
        </w:rPr>
        <w:t xml:space="preserve"> The prosecution makes its closing argument, summarizing the evidence as the prosecution sees it and explaining why the jury should render a guilty verdict.</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Defense closing argument.</w:t>
      </w:r>
      <w:proofErr w:type="gramEnd"/>
      <w:r w:rsidRPr="000A2EA7">
        <w:rPr>
          <w:rFonts w:ascii="Arial" w:eastAsia="Times New Roman" w:hAnsi="Arial" w:cs="Arial"/>
          <w:color w:val="333333"/>
          <w:sz w:val="20"/>
          <w:szCs w:val="20"/>
        </w:rPr>
        <w:t xml:space="preserve"> The defense makes its closing argument, summarizing the evidence as the defense sees it and explaining why the jury should render a not guilty verdict -- or at least a guilty verdict on a lesser charge.</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Prosecution rebuttal.</w:t>
      </w:r>
      <w:proofErr w:type="gramEnd"/>
      <w:r w:rsidRPr="000A2EA7">
        <w:rPr>
          <w:rFonts w:ascii="Arial" w:eastAsia="Times New Roman" w:hAnsi="Arial" w:cs="Arial"/>
          <w:color w:val="333333"/>
          <w:sz w:val="20"/>
          <w:szCs w:val="20"/>
        </w:rPr>
        <w:t xml:space="preserve"> The prosecution has the last word, if it chooses to do so, and again </w:t>
      </w:r>
      <w:proofErr w:type="gramStart"/>
      <w:r w:rsidRPr="000A2EA7">
        <w:rPr>
          <w:rFonts w:ascii="Arial" w:eastAsia="Times New Roman" w:hAnsi="Arial" w:cs="Arial"/>
          <w:color w:val="333333"/>
          <w:sz w:val="20"/>
          <w:szCs w:val="20"/>
        </w:rPr>
        <w:t>argues</w:t>
      </w:r>
      <w:proofErr w:type="gramEnd"/>
      <w:r w:rsidRPr="000A2EA7">
        <w:rPr>
          <w:rFonts w:ascii="Arial" w:eastAsia="Times New Roman" w:hAnsi="Arial" w:cs="Arial"/>
          <w:color w:val="333333"/>
          <w:sz w:val="20"/>
          <w:szCs w:val="20"/>
        </w:rPr>
        <w:t xml:space="preserve"> that the jury has credible evidence that supports a finding of guilty.</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Jury instructions.</w:t>
      </w:r>
      <w:proofErr w:type="gramEnd"/>
      <w:r w:rsidRPr="000A2EA7">
        <w:rPr>
          <w:rFonts w:ascii="Arial" w:eastAsia="Times New Roman" w:hAnsi="Arial" w:cs="Arial"/>
          <w:color w:val="333333"/>
          <w:sz w:val="20"/>
          <w:szCs w:val="20"/>
        </w:rPr>
        <w:t xml:space="preserve"> The judge instructs the jury about what law to apply to the case and how to carry out its duties. (Some judges "pre</w:t>
      </w:r>
      <w:r>
        <w:rPr>
          <w:rFonts w:ascii="Arial" w:eastAsia="Times New Roman" w:hAnsi="Arial" w:cs="Arial"/>
          <w:color w:val="333333"/>
          <w:sz w:val="20"/>
          <w:szCs w:val="20"/>
        </w:rPr>
        <w:t>-</w:t>
      </w:r>
      <w:r w:rsidRPr="000A2EA7">
        <w:rPr>
          <w:rFonts w:ascii="Arial" w:eastAsia="Times New Roman" w:hAnsi="Arial" w:cs="Arial"/>
          <w:color w:val="333333"/>
          <w:sz w:val="20"/>
          <w:szCs w:val="20"/>
        </w:rPr>
        <w:t>instruct" juries, reciting instructions before closing argument or even at the outset of trial.)</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Jury deliberations.</w:t>
      </w:r>
      <w:proofErr w:type="gramEnd"/>
      <w:r w:rsidRPr="000A2EA7">
        <w:rPr>
          <w:rFonts w:ascii="Arial" w:eastAsia="Times New Roman" w:hAnsi="Arial" w:cs="Arial"/>
          <w:color w:val="333333"/>
          <w:sz w:val="20"/>
          <w:szCs w:val="20"/>
        </w:rPr>
        <w:t xml:space="preserve"> The jury deliberates and tries to reach a verdict. Most states require unanimous agreement, but Oregon and Louisiana allow convictions with only 10 of 12 votes.</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Post-trial motions.</w:t>
      </w:r>
      <w:proofErr w:type="gramEnd"/>
      <w:r w:rsidRPr="000A2EA7">
        <w:rPr>
          <w:rFonts w:ascii="Arial" w:eastAsia="Times New Roman" w:hAnsi="Arial" w:cs="Arial"/>
          <w:color w:val="333333"/>
          <w:sz w:val="20"/>
          <w:szCs w:val="20"/>
        </w:rPr>
        <w:t xml:space="preserve"> If the jury produces a guilty verdict, the defense often makes post-trial motions requesting the judge to override the jury and either grant a new trial or acquit the defendant.</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Denial of post-trial motions.</w:t>
      </w:r>
      <w:proofErr w:type="gramEnd"/>
      <w:r w:rsidRPr="000A2EA7">
        <w:rPr>
          <w:rFonts w:ascii="Arial" w:eastAsia="Times New Roman" w:hAnsi="Arial" w:cs="Arial"/>
          <w:color w:val="333333"/>
          <w:sz w:val="20"/>
          <w:szCs w:val="20"/>
        </w:rPr>
        <w:t xml:space="preserve"> Almost always, the judge denies the defense post-trial motions.</w:t>
      </w:r>
    </w:p>
    <w:p w:rsidR="000A2EA7" w:rsidRPr="000A2EA7" w:rsidRDefault="000A2EA7" w:rsidP="000A2EA7">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0A2EA7">
        <w:rPr>
          <w:rFonts w:ascii="Arial" w:eastAsia="Times New Roman" w:hAnsi="Arial" w:cs="Arial"/>
          <w:b/>
          <w:bCs/>
          <w:color w:val="764610"/>
          <w:sz w:val="20"/>
          <w:szCs w:val="20"/>
        </w:rPr>
        <w:t>Sentencing.</w:t>
      </w:r>
      <w:proofErr w:type="gramEnd"/>
      <w:r w:rsidRPr="000A2EA7">
        <w:rPr>
          <w:rFonts w:ascii="Arial" w:eastAsia="Times New Roman" w:hAnsi="Arial" w:cs="Arial"/>
          <w:color w:val="333333"/>
          <w:sz w:val="20"/>
          <w:szCs w:val="20"/>
        </w:rPr>
        <w:t xml:space="preserve"> Assuming a conviction (a verdict of "guilty"), the judge either sentences the defendant on the spot or sets sentencing for another day.</w:t>
      </w:r>
    </w:p>
    <w:p w:rsidR="00B75477" w:rsidRDefault="00B75477"/>
    <w:p w:rsidR="00DF1407" w:rsidRDefault="00DF1407"/>
    <w:sectPr w:rsidR="00DF1407" w:rsidSect="00B75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Italic">
    <w:panose1 w:val="00000400000000000000"/>
    <w:charset w:val="00"/>
    <w:family w:val="auto"/>
    <w:pitch w:val="variable"/>
    <w:sig w:usb0="20002A87" w:usb1="00000000" w:usb2="00000000"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915"/>
    <w:multiLevelType w:val="multilevel"/>
    <w:tmpl w:val="CE80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834FCB"/>
    <w:multiLevelType w:val="multilevel"/>
    <w:tmpl w:val="DAE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EA7"/>
    <w:rsid w:val="000A2EA7"/>
    <w:rsid w:val="007C3D89"/>
    <w:rsid w:val="00B75477"/>
    <w:rsid w:val="00DF1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580231">
      <w:bodyDiv w:val="1"/>
      <w:marLeft w:val="0"/>
      <w:marRight w:val="0"/>
      <w:marTop w:val="0"/>
      <w:marBottom w:val="0"/>
      <w:divBdr>
        <w:top w:val="none" w:sz="0" w:space="0" w:color="auto"/>
        <w:left w:val="none" w:sz="0" w:space="0" w:color="auto"/>
        <w:bottom w:val="none" w:sz="0" w:space="0" w:color="auto"/>
        <w:right w:val="none" w:sz="0" w:space="0" w:color="auto"/>
      </w:divBdr>
      <w:divsChild>
        <w:div w:id="1850482582">
          <w:marLeft w:val="0"/>
          <w:marRight w:val="0"/>
          <w:marTop w:val="0"/>
          <w:marBottom w:val="0"/>
          <w:divBdr>
            <w:top w:val="none" w:sz="0" w:space="0" w:color="auto"/>
            <w:left w:val="none" w:sz="0" w:space="0" w:color="auto"/>
            <w:bottom w:val="none" w:sz="0" w:space="0" w:color="auto"/>
            <w:right w:val="none" w:sz="0" w:space="0" w:color="auto"/>
          </w:divBdr>
          <w:divsChild>
            <w:div w:id="883172788">
              <w:marLeft w:val="0"/>
              <w:marRight w:val="0"/>
              <w:marTop w:val="0"/>
              <w:marBottom w:val="0"/>
              <w:divBdr>
                <w:top w:val="none" w:sz="0" w:space="0" w:color="auto"/>
                <w:left w:val="none" w:sz="0" w:space="0" w:color="auto"/>
                <w:bottom w:val="none" w:sz="0" w:space="0" w:color="auto"/>
                <w:right w:val="none" w:sz="0" w:space="0" w:color="auto"/>
              </w:divBdr>
              <w:divsChild>
                <w:div w:id="1695308581">
                  <w:marLeft w:val="0"/>
                  <w:marRight w:val="0"/>
                  <w:marTop w:val="0"/>
                  <w:marBottom w:val="0"/>
                  <w:divBdr>
                    <w:top w:val="none" w:sz="0" w:space="0" w:color="auto"/>
                    <w:left w:val="none" w:sz="0" w:space="0" w:color="auto"/>
                    <w:bottom w:val="none" w:sz="0" w:space="0" w:color="auto"/>
                    <w:right w:val="none" w:sz="0" w:space="0" w:color="auto"/>
                  </w:divBdr>
                  <w:divsChild>
                    <w:div w:id="1438788130">
                      <w:marLeft w:val="0"/>
                      <w:marRight w:val="0"/>
                      <w:marTop w:val="0"/>
                      <w:marBottom w:val="0"/>
                      <w:divBdr>
                        <w:top w:val="none" w:sz="0" w:space="0" w:color="auto"/>
                        <w:left w:val="none" w:sz="0" w:space="0" w:color="auto"/>
                        <w:bottom w:val="none" w:sz="0" w:space="0" w:color="auto"/>
                        <w:right w:val="none" w:sz="0" w:space="0" w:color="auto"/>
                      </w:divBdr>
                      <w:divsChild>
                        <w:div w:id="829253915">
                          <w:marLeft w:val="0"/>
                          <w:marRight w:val="0"/>
                          <w:marTop w:val="0"/>
                          <w:marBottom w:val="0"/>
                          <w:divBdr>
                            <w:top w:val="single" w:sz="2" w:space="0" w:color="CCCCCC"/>
                            <w:left w:val="single" w:sz="6" w:space="0" w:color="CCCCCC"/>
                            <w:bottom w:val="single" w:sz="6" w:space="0" w:color="CCCCCC"/>
                            <w:right w:val="single" w:sz="6" w:space="0" w:color="CCCCCC"/>
                          </w:divBdr>
                          <w:divsChild>
                            <w:div w:id="1148858219">
                              <w:marLeft w:val="0"/>
                              <w:marRight w:val="0"/>
                              <w:marTop w:val="0"/>
                              <w:marBottom w:val="0"/>
                              <w:divBdr>
                                <w:top w:val="none" w:sz="0" w:space="0" w:color="auto"/>
                                <w:left w:val="none" w:sz="0" w:space="0" w:color="auto"/>
                                <w:bottom w:val="none" w:sz="0" w:space="0" w:color="auto"/>
                                <w:right w:val="none" w:sz="0" w:space="0" w:color="auto"/>
                              </w:divBdr>
                              <w:divsChild>
                                <w:div w:id="6869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8421">
      <w:bodyDiv w:val="1"/>
      <w:marLeft w:val="0"/>
      <w:marRight w:val="0"/>
      <w:marTop w:val="0"/>
      <w:marBottom w:val="0"/>
      <w:divBdr>
        <w:top w:val="none" w:sz="0" w:space="0" w:color="auto"/>
        <w:left w:val="none" w:sz="0" w:space="0" w:color="auto"/>
        <w:bottom w:val="none" w:sz="0" w:space="0" w:color="auto"/>
        <w:right w:val="none" w:sz="0" w:space="0" w:color="auto"/>
      </w:divBdr>
      <w:divsChild>
        <w:div w:id="628167727">
          <w:marLeft w:val="0"/>
          <w:marRight w:val="0"/>
          <w:marTop w:val="0"/>
          <w:marBottom w:val="0"/>
          <w:divBdr>
            <w:top w:val="none" w:sz="0" w:space="0" w:color="auto"/>
            <w:left w:val="none" w:sz="0" w:space="0" w:color="auto"/>
            <w:bottom w:val="none" w:sz="0" w:space="0" w:color="auto"/>
            <w:right w:val="none" w:sz="0" w:space="0" w:color="auto"/>
          </w:divBdr>
          <w:divsChild>
            <w:div w:id="618298351">
              <w:marLeft w:val="0"/>
              <w:marRight w:val="0"/>
              <w:marTop w:val="0"/>
              <w:marBottom w:val="0"/>
              <w:divBdr>
                <w:top w:val="none" w:sz="0" w:space="0" w:color="auto"/>
                <w:left w:val="none" w:sz="0" w:space="0" w:color="auto"/>
                <w:bottom w:val="none" w:sz="0" w:space="0" w:color="auto"/>
                <w:right w:val="none" w:sz="0" w:space="0" w:color="auto"/>
              </w:divBdr>
              <w:divsChild>
                <w:div w:id="1238203238">
                  <w:marLeft w:val="0"/>
                  <w:marRight w:val="0"/>
                  <w:marTop w:val="0"/>
                  <w:marBottom w:val="0"/>
                  <w:divBdr>
                    <w:top w:val="none" w:sz="0" w:space="0" w:color="auto"/>
                    <w:left w:val="none" w:sz="0" w:space="0" w:color="auto"/>
                    <w:bottom w:val="none" w:sz="0" w:space="0" w:color="auto"/>
                    <w:right w:val="none" w:sz="0" w:space="0" w:color="auto"/>
                  </w:divBdr>
                  <w:divsChild>
                    <w:div w:id="258022884">
                      <w:marLeft w:val="0"/>
                      <w:marRight w:val="0"/>
                      <w:marTop w:val="0"/>
                      <w:marBottom w:val="0"/>
                      <w:divBdr>
                        <w:top w:val="none" w:sz="0" w:space="0" w:color="auto"/>
                        <w:left w:val="none" w:sz="0" w:space="0" w:color="auto"/>
                        <w:bottom w:val="none" w:sz="0" w:space="0" w:color="auto"/>
                        <w:right w:val="none" w:sz="0" w:space="0" w:color="auto"/>
                      </w:divBdr>
                      <w:divsChild>
                        <w:div w:id="806120236">
                          <w:marLeft w:val="0"/>
                          <w:marRight w:val="0"/>
                          <w:marTop w:val="0"/>
                          <w:marBottom w:val="0"/>
                          <w:divBdr>
                            <w:top w:val="single" w:sz="2" w:space="0" w:color="CCCCCC"/>
                            <w:left w:val="single" w:sz="6" w:space="0" w:color="CCCCCC"/>
                            <w:bottom w:val="single" w:sz="6" w:space="0" w:color="CCCCCC"/>
                            <w:right w:val="single" w:sz="6" w:space="0" w:color="CCCCCC"/>
                          </w:divBdr>
                          <w:divsChild>
                            <w:div w:id="1056709288">
                              <w:marLeft w:val="0"/>
                              <w:marRight w:val="0"/>
                              <w:marTop w:val="0"/>
                              <w:marBottom w:val="0"/>
                              <w:divBdr>
                                <w:top w:val="none" w:sz="0" w:space="0" w:color="auto"/>
                                <w:left w:val="none" w:sz="0" w:space="0" w:color="auto"/>
                                <w:bottom w:val="none" w:sz="0" w:space="0" w:color="auto"/>
                                <w:right w:val="none" w:sz="0" w:space="0" w:color="auto"/>
                              </w:divBdr>
                              <w:divsChild>
                                <w:div w:id="7140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2</cp:revision>
  <cp:lastPrinted>2010-10-29T13:09:00Z</cp:lastPrinted>
  <dcterms:created xsi:type="dcterms:W3CDTF">2010-10-29T13:05:00Z</dcterms:created>
  <dcterms:modified xsi:type="dcterms:W3CDTF">2010-10-29T13:18:00Z</dcterms:modified>
</cp:coreProperties>
</file>